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D88EC">
      <w:pPr>
        <w:pStyle w:val="14"/>
        <w:jc w:val="left"/>
      </w:pPr>
      <w:r>
        <w:t>DECLARATION OF PERFORMANCE</w:t>
      </w:r>
    </w:p>
    <w:p w14:paraId="502101BC">
      <w:pPr>
        <w:pStyle w:val="4"/>
        <w:jc w:val="left"/>
      </w:pPr>
      <w:r>
        <w:rPr>
          <w:b/>
          <w:bCs/>
        </w:rPr>
        <w:t>Document Reference:</w:t>
      </w:r>
      <w:r>
        <w:t xml:space="preserve"> JIT-TBB-DOP-20</w:t>
      </w:r>
      <w:r>
        <w:rPr>
          <w:rFonts w:hint="eastAsia"/>
          <w:lang w:val="en-US" w:eastAsia="zh-CN"/>
        </w:rPr>
        <w:t>23</w:t>
      </w:r>
      <w:r>
        <w:t>-2030</w:t>
      </w:r>
    </w:p>
    <w:p w14:paraId="221EB9B5">
      <w:pPr>
        <w:pStyle w:val="21"/>
        <w:pBdr>
          <w:bottom w:val="single" w:color="080F17" w:sz="6" w:space="0"/>
        </w:pBdr>
        <w:jc w:val="left"/>
      </w:pPr>
    </w:p>
    <w:p w14:paraId="792E1A13">
      <w:pPr>
        <w:pStyle w:val="21"/>
      </w:pPr>
    </w:p>
    <w:p w14:paraId="70B0A3EC">
      <w:pPr>
        <w:pStyle w:val="3"/>
        <w:jc w:val="left"/>
      </w:pPr>
      <w:r>
        <w:t>1. Unique identification code of the product-type</w:t>
      </w:r>
    </w:p>
    <w:p w14:paraId="1109F9C6">
      <w:pPr>
        <w:spacing w:after="20"/>
        <w:ind w:left="113"/>
      </w:pPr>
      <w:r>
        <w:rPr>
          <w:rFonts w:ascii="微软雅黑" w:hAnsi="微软雅黑" w:eastAsia="微软雅黑"/>
          <w:b w:val="0"/>
        </w:rPr>
        <w:t xml:space="preserve">Factory-made extruded polystyrene foam (XPS) insulation board, with or without cementitious facings/coatings, supplied as a cement-faced tile backer board for non-structural </w:t>
      </w:r>
      <w:r>
        <w:rPr>
          <w:rFonts w:hint="default"/>
          <w:b w:val="0"/>
          <w:lang w:val="en-US"/>
        </w:rPr>
        <w:t xml:space="preserve">internal </w:t>
      </w:r>
      <w:r>
        <w:rPr>
          <w:rFonts w:ascii="微软雅黑" w:hAnsi="微软雅黑" w:eastAsia="微软雅黑"/>
          <w:b w:val="0"/>
        </w:rPr>
        <w:t>use.</w:t>
      </w:r>
    </w:p>
    <w:p w14:paraId="3C3BC22E">
      <w:pPr>
        <w:spacing w:after="20"/>
        <w:ind w:left="113"/>
      </w:pPr>
    </w:p>
    <w:p w14:paraId="3E21745C">
      <w:pPr>
        <w:spacing w:after="20"/>
        <w:ind w:left="113"/>
      </w:pPr>
      <w:r>
        <w:rPr>
          <w:rFonts w:ascii="微软雅黑" w:hAnsi="微软雅黑" w:eastAsia="微软雅黑"/>
          <w:b w:val="0"/>
        </w:rPr>
        <w:t xml:space="preserve">Product family </w:t>
      </w:r>
      <w:r>
        <w:t>manufactured using the same raw materials, formulation, density range and production process</w:t>
      </w:r>
      <w:r>
        <w:rPr>
          <w:rFonts w:hint="eastAsia"/>
          <w:lang w:val="en-US" w:eastAsia="zh-CN"/>
        </w:rPr>
        <w:t xml:space="preserve"> </w:t>
      </w:r>
      <w:r>
        <w:rPr>
          <w:rFonts w:ascii="微软雅黑" w:hAnsi="微软雅黑" w:eastAsia="微软雅黑"/>
          <w:b w:val="0"/>
        </w:rPr>
        <w:t>covered by this DoP:</w:t>
      </w:r>
    </w:p>
    <w:p w14:paraId="0AB8873C">
      <w:pPr>
        <w:spacing w:after="20"/>
        <w:ind w:left="113"/>
      </w:pPr>
      <w:r>
        <w:rPr>
          <w:rFonts w:ascii="微软雅黑" w:hAnsi="微软雅黑" w:eastAsia="微软雅黑"/>
          <w:b w:val="0"/>
        </w:rPr>
        <w:t>• Nominal thicknesses: 6 mm / 10 mm / 12 mm / 20 mm / 30 mm / 40 mm / 50 mm / 80 mm</w:t>
      </w:r>
    </w:p>
    <w:p w14:paraId="05773C38">
      <w:pPr>
        <w:spacing w:after="20"/>
        <w:ind w:left="113"/>
      </w:pPr>
      <w:r>
        <w:rPr>
          <w:rFonts w:ascii="微软雅黑" w:hAnsi="微软雅黑" w:eastAsia="微软雅黑"/>
          <w:b w:val="0"/>
        </w:rPr>
        <w:t>• Nominal widths: 600 mm</w:t>
      </w:r>
    </w:p>
    <w:p w14:paraId="4D0BF998">
      <w:pPr>
        <w:spacing w:after="20"/>
        <w:ind w:left="113"/>
      </w:pPr>
      <w:r>
        <w:rPr>
          <w:rFonts w:ascii="微软雅黑" w:hAnsi="微软雅黑" w:eastAsia="微软雅黑"/>
          <w:b w:val="0"/>
        </w:rPr>
        <w:t>• Nominal lengths: 1200 mm / 1250 mm / 2440 mm / 2500 mm</w:t>
      </w:r>
    </w:p>
    <w:p w14:paraId="5F1965D3">
      <w:pPr>
        <w:spacing w:after="20"/>
        <w:ind w:left="113"/>
      </w:pPr>
    </w:p>
    <w:p w14:paraId="7ED5DBF6">
      <w:pPr>
        <w:spacing w:after="20"/>
        <w:ind w:left="113"/>
      </w:pPr>
      <w:r>
        <w:rPr>
          <w:rFonts w:ascii="微软雅黑" w:hAnsi="微软雅黑" w:eastAsia="微软雅黑"/>
          <w:b w:val="0"/>
        </w:rPr>
        <w:t>Representative family models evidenced in the technical dossier:</w:t>
      </w:r>
    </w:p>
    <w:p w14:paraId="65FE3F74">
      <w:pPr>
        <w:spacing w:after="20"/>
        <w:ind w:left="113"/>
      </w:pPr>
      <w:r>
        <w:rPr>
          <w:rFonts w:ascii="微软雅黑" w:hAnsi="微软雅黑" w:eastAsia="微软雅黑"/>
          <w:b w:val="0"/>
        </w:rPr>
        <w:t>TB120606 (6×600×1200 mm) and TB1256080 (80×600×1250 mm).</w:t>
      </w:r>
    </w:p>
    <w:p w14:paraId="6B07AB0B">
      <w:pPr>
        <w:spacing w:after="20"/>
        <w:ind w:left="113"/>
      </w:pPr>
      <w:r>
        <w:rPr>
          <w:rFonts w:ascii="微软雅黑" w:hAnsi="微软雅黑" w:eastAsia="微软雅黑"/>
          <w:b w:val="0"/>
        </w:rPr>
        <w:t>Additional product-type determination evidence exists for 20 mm and 50 mm boards.</w:t>
      </w:r>
    </w:p>
    <w:p w14:paraId="1343B937">
      <w:pPr>
        <w:pStyle w:val="3"/>
        <w:jc w:val="left"/>
      </w:pPr>
      <w:r>
        <w:t>2. Intended use(s)</w:t>
      </w:r>
    </w:p>
    <w:p w14:paraId="1AD16172">
      <w:pPr>
        <w:jc w:val="left"/>
      </w:pPr>
      <w:r>
        <w:t>Non-structural construction materials intended for:</w:t>
      </w:r>
    </w:p>
    <w:p w14:paraId="05A0FAFF">
      <w:pPr>
        <w:spacing w:after="20"/>
      </w:pPr>
      <w:r>
        <w:rPr>
          <w:rFonts w:ascii="微软雅黑" w:hAnsi="微软雅黑" w:eastAsia="微软雅黑"/>
          <w:b w:val="0"/>
        </w:rPr>
        <w:t>Thermal insulation product for buildings under EN 13164.</w:t>
      </w:r>
      <w:r>
        <w:rPr>
          <w:rFonts w:hint="eastAsia" w:ascii="微软雅黑" w:hAnsi="微软雅黑" w:eastAsia="微软雅黑"/>
          <w:b w:val="0"/>
          <w:lang w:val="en-US" w:eastAsia="zh-CN"/>
        </w:rPr>
        <w:t xml:space="preserve"> </w:t>
      </w:r>
      <w:r>
        <w:rPr>
          <w:rFonts w:ascii="微软雅黑" w:hAnsi="微软雅黑" w:eastAsia="微软雅黑"/>
          <w:b w:val="0"/>
        </w:rPr>
        <w:t>Where supplied with cementitious facings/coatings, the product may also be placed on the market for non-structural wall and floor preparation as a tile backer board/substrate.</w:t>
      </w:r>
    </w:p>
    <w:p w14:paraId="15495C7D">
      <w:pPr>
        <w:jc w:val="left"/>
      </w:pPr>
    </w:p>
    <w:p w14:paraId="784377A8">
      <w:pPr>
        <w:jc w:val="left"/>
      </w:pPr>
      <w:r>
        <w:t>It does not constitute a declaration for any complete wall, floor or roof assembly system.</w:t>
      </w:r>
    </w:p>
    <w:p w14:paraId="22EE33C6">
      <w:pPr>
        <w:pStyle w:val="3"/>
        <w:jc w:val="left"/>
      </w:pPr>
      <w:r>
        <w:t>3. Manufacturer</w:t>
      </w:r>
    </w:p>
    <w:p w14:paraId="69AB394F">
      <w:pPr>
        <w:jc w:val="left"/>
      </w:pPr>
      <w:r>
        <w:rPr>
          <w:b/>
          <w:bCs/>
        </w:rPr>
        <w:t>Name:</w:t>
      </w:r>
      <w:r>
        <w:t xml:space="preserve"> ANHUI JIT NEW MATERIAL CO., LTD.</w:t>
      </w:r>
    </w:p>
    <w:p w14:paraId="23467E16">
      <w:pPr>
        <w:jc w:val="left"/>
      </w:pPr>
      <w:r>
        <w:rPr>
          <w:b/>
          <w:bCs/>
        </w:rPr>
        <w:t>Address:</w:t>
      </w:r>
      <w:r>
        <w:t xml:space="preserve"> No.7, Songquan East Road, Xuancheng Hi-tech Industrial Development Zone, Anhui Province, China</w:t>
      </w:r>
    </w:p>
    <w:p w14:paraId="5A9CEA5C">
      <w:pPr>
        <w:pStyle w:val="4"/>
        <w:jc w:val="left"/>
      </w:pPr>
      <w:r>
        <w:t>This declaration is issued under the sole responsibility of the manufacturer.</w:t>
      </w:r>
    </w:p>
    <w:p w14:paraId="53AD4720">
      <w:pPr>
        <w:pStyle w:val="3"/>
        <w:jc w:val="left"/>
        <w:rPr>
          <w:highlight w:val="yellow"/>
        </w:rPr>
      </w:pPr>
      <w:r>
        <w:rPr>
          <w:highlight w:val="yellow"/>
        </w:rPr>
        <w:t>4. Importer (UK Market)</w:t>
      </w:r>
    </w:p>
    <w:p w14:paraId="33801569">
      <w:pPr>
        <w:jc w:val="left"/>
        <w:rPr>
          <w:highlight w:val="yellow"/>
        </w:rPr>
      </w:pPr>
      <w:r>
        <w:rPr>
          <w:b/>
          <w:bCs/>
          <w:highlight w:val="yellow"/>
        </w:rPr>
        <w:t>Name:</w:t>
      </w:r>
      <w:r>
        <w:rPr>
          <w:highlight w:val="yellow"/>
        </w:rPr>
        <w:t xml:space="preserve"> </w:t>
      </w:r>
      <w:r>
        <w:rPr>
          <w:rFonts w:hint="eastAsia"/>
          <w:highlight w:val="yellow"/>
        </w:rPr>
        <w:t>GIAVANI BATHROOMS</w:t>
      </w:r>
    </w:p>
    <w:p w14:paraId="464583FA">
      <w:pPr>
        <w:jc w:val="left"/>
        <w:rPr>
          <w:highlight w:val="yellow"/>
        </w:rPr>
      </w:pPr>
      <w:r>
        <w:rPr>
          <w:b/>
          <w:bCs/>
          <w:highlight w:val="yellow"/>
        </w:rPr>
        <w:t>Address:</w:t>
      </w:r>
      <w:r>
        <w:rPr>
          <w:highlight w:val="yellow"/>
        </w:rPr>
        <w:t xml:space="preserve"> </w:t>
      </w:r>
      <w:r>
        <w:rPr>
          <w:rFonts w:hint="eastAsia"/>
          <w:highlight w:val="yellow"/>
        </w:rPr>
        <w:t>FORMERLY PHYSIQUE SPORTS</w:t>
      </w:r>
      <w:r>
        <w:rPr>
          <w:rFonts w:hint="eastAsia"/>
          <w:highlight w:val="yellow"/>
          <w:lang w:val="en-US" w:eastAsia="zh-CN"/>
        </w:rPr>
        <w:t xml:space="preserve">, </w:t>
      </w:r>
      <w:r>
        <w:rPr>
          <w:rFonts w:hint="eastAsia"/>
          <w:highlight w:val="yellow"/>
        </w:rPr>
        <w:t>BARROWFORD ROAD</w:t>
      </w:r>
      <w:r>
        <w:rPr>
          <w:rFonts w:hint="eastAsia"/>
          <w:highlight w:val="yellow"/>
          <w:lang w:val="en-US" w:eastAsia="zh-CN"/>
        </w:rPr>
        <w:t xml:space="preserve">, </w:t>
      </w:r>
      <w:r>
        <w:rPr>
          <w:rFonts w:hint="eastAsia"/>
          <w:highlight w:val="yellow"/>
        </w:rPr>
        <w:t>COLNE</w:t>
      </w:r>
      <w:r>
        <w:rPr>
          <w:rFonts w:hint="eastAsia"/>
          <w:highlight w:val="yellow"/>
          <w:lang w:val="en-US" w:eastAsia="zh-CN"/>
        </w:rPr>
        <w:t xml:space="preserve">, </w:t>
      </w:r>
      <w:r>
        <w:rPr>
          <w:rFonts w:hint="eastAsia"/>
          <w:highlight w:val="yellow"/>
        </w:rPr>
        <w:t>LANCASHIRE</w:t>
      </w:r>
      <w:r>
        <w:rPr>
          <w:rFonts w:hint="eastAsia"/>
          <w:highlight w:val="yellow"/>
          <w:lang w:val="en-US" w:eastAsia="zh-CN"/>
        </w:rPr>
        <w:t xml:space="preserve">, </w:t>
      </w:r>
      <w:r>
        <w:rPr>
          <w:rFonts w:hint="eastAsia"/>
          <w:highlight w:val="yellow"/>
        </w:rPr>
        <w:t>BB8 9AJ</w:t>
      </w:r>
      <w:r>
        <w:rPr>
          <w:rFonts w:hint="eastAsia"/>
          <w:highlight w:val="yellow"/>
          <w:lang w:val="en-US" w:eastAsia="zh-CN"/>
        </w:rPr>
        <w:t xml:space="preserve">, </w:t>
      </w:r>
      <w:r>
        <w:rPr>
          <w:rFonts w:hint="eastAsia"/>
          <w:highlight w:val="yellow"/>
        </w:rPr>
        <w:t>United Kingdom</w:t>
      </w:r>
    </w:p>
    <w:p w14:paraId="7A3B2CAB">
      <w:pPr>
        <w:pStyle w:val="3"/>
        <w:jc w:val="left"/>
      </w:pPr>
      <w:r>
        <w:t>5. System(s) of assessment and verification of constancy of performance</w:t>
      </w:r>
    </w:p>
    <w:p w14:paraId="36747BDF">
      <w:pPr>
        <w:jc w:val="left"/>
      </w:pPr>
      <w:r>
        <w:rPr>
          <w:b/>
          <w:bCs/>
        </w:rPr>
        <w:t>AVCP System 3</w:t>
      </w:r>
      <w:bookmarkStart w:id="0" w:name="_GoBack"/>
      <w:bookmarkEnd w:id="0"/>
    </w:p>
    <w:p w14:paraId="0E45D43F">
      <w:pPr>
        <w:pStyle w:val="3"/>
        <w:jc w:val="left"/>
      </w:pPr>
      <w:r>
        <w:t xml:space="preserve">6. </w:t>
      </w:r>
      <w:r>
        <w:rPr>
          <w:rFonts w:ascii="微软雅黑" w:hAnsi="微软雅黑" w:eastAsia="微软雅黑"/>
          <w:b/>
        </w:rPr>
        <w:t>Harmonised standard</w:t>
      </w:r>
    </w:p>
    <w:p w14:paraId="4F2A18E0">
      <w:pPr>
        <w:jc w:val="left"/>
      </w:pPr>
      <w:r>
        <w:t>BS EN 13164:2012+A1:2015</w:t>
      </w:r>
    </w:p>
    <w:p w14:paraId="41DC13AE">
      <w:pPr>
        <w:jc w:val="left"/>
        <w:rPr>
          <w:i/>
          <w:iCs/>
        </w:rPr>
      </w:pPr>
      <w:r>
        <w:rPr>
          <w:i/>
          <w:iCs/>
        </w:rPr>
        <w:t>Thermal insulating products for buildings – Factory made extruded polystyrene foam (XPS) products - Specification</w:t>
      </w:r>
    </w:p>
    <w:p w14:paraId="07C56090">
      <w:pPr>
        <w:pStyle w:val="3"/>
        <w:numPr>
          <w:ilvl w:val="0"/>
          <w:numId w:val="2"/>
        </w:numPr>
        <w:jc w:val="left"/>
        <w:rPr>
          <w:rFonts w:hint="default"/>
          <w:lang w:val="en-US" w:eastAsia="zh-CN"/>
        </w:rPr>
      </w:pPr>
      <w:r>
        <w:rPr>
          <w:rFonts w:hint="default"/>
          <w:lang w:val="en-US" w:eastAsia="zh-CN"/>
        </w:rPr>
        <w:t>Notifyied body</w:t>
      </w:r>
    </w:p>
    <w:p w14:paraId="7AD5DFA3">
      <w:pPr>
        <w:jc w:val="left"/>
        <w:textAlignment w:val="baseline"/>
        <w:rPr>
          <w:rFonts w:hint="default" w:eastAsia="微软雅黑"/>
          <w:i/>
          <w:iCs/>
          <w:lang w:val="en-US" w:eastAsia="zh-CN"/>
        </w:rPr>
      </w:pPr>
      <w:r>
        <w:rPr>
          <w:rFonts w:ascii="微软雅黑" w:hAnsi="微软雅黑" w:eastAsia="微软雅黑" w:cs="微软雅黑"/>
          <w:color w:val="080F17"/>
          <w:sz w:val="22"/>
        </w:rPr>
        <w:t>LGAI Technological Center S.A. (Applus+), Notified Body No. 0370, carried out product-type determination under System 3 in relation to the EN 13164 evidence set referenced in the manufacturer</w:t>
      </w:r>
      <w:r>
        <w:rPr>
          <w:rFonts w:hint="default" w:cs="微软雅黑"/>
          <w:color w:val="080F17"/>
          <w:sz w:val="22"/>
          <w:lang w:val="en-US" w:eastAsia="zh-CN"/>
        </w:rPr>
        <w:t>’</w:t>
      </w:r>
      <w:r>
        <w:rPr>
          <w:rFonts w:ascii="微软雅黑" w:hAnsi="微软雅黑" w:eastAsia="微软雅黑" w:cs="微软雅黑"/>
          <w:color w:val="080F17"/>
          <w:sz w:val="22"/>
        </w:rPr>
        <w:t>s technical dossier.</w:t>
      </w:r>
    </w:p>
    <w:p w14:paraId="0160FB9C">
      <w:pPr>
        <w:pStyle w:val="3"/>
        <w:jc w:val="left"/>
      </w:pPr>
      <w:r>
        <w:rPr>
          <w:rFonts w:hint="eastAsia"/>
          <w:lang w:val="en-US" w:eastAsia="zh-CN"/>
        </w:rPr>
        <w:t>8</w:t>
      </w:r>
      <w:r>
        <w:t>. Declared performance</w:t>
      </w:r>
    </w:p>
    <w:p w14:paraId="585F837C">
      <w:pPr>
        <w:jc w:val="left"/>
      </w:pPr>
      <w:r>
        <w:rPr>
          <w:b/>
          <w:bCs/>
        </w:rPr>
        <w:t>Representative configurations:</w:t>
      </w:r>
    </w:p>
    <w:p w14:paraId="3F19EB0A">
      <w:pPr>
        <w:numPr>
          <w:ilvl w:val="0"/>
          <w:numId w:val="3"/>
        </w:numPr>
        <w:jc w:val="left"/>
      </w:pPr>
      <w:r>
        <w:t>Thinnest board: 6×600×1200mm (Model TB120606)</w:t>
      </w:r>
    </w:p>
    <w:p w14:paraId="284326ED">
      <w:pPr>
        <w:numPr>
          <w:ilvl w:val="0"/>
          <w:numId w:val="3"/>
        </w:numPr>
        <w:jc w:val="left"/>
      </w:pPr>
      <w:r>
        <w:t>Thickest board: 80 x 600 x 1250 mm (Model TB1256080)</w:t>
      </w:r>
    </w:p>
    <w:p w14:paraId="4195D6D6">
      <w:pPr>
        <w:numPr>
          <w:ilvl w:val="0"/>
          <w:numId w:val="3"/>
        </w:numPr>
        <w:jc w:val="left"/>
      </w:pPr>
      <w:r>
        <w:t>Tested reference boards: 20mm and 50mm thickness (product type determination samples)</w:t>
      </w:r>
    </w:p>
    <w:p w14:paraId="4D9D6CE6">
      <w:pPr>
        <w:jc w:val="left"/>
      </w:pPr>
      <w:r>
        <w:t>All performance values are based on type testing conducted by accredited third-party laboratories in accordance with the designated standard.</w:t>
      </w:r>
    </w:p>
    <w:tbl>
      <w:tblPr>
        <w:tblStyle w:val="11"/>
        <w:tblW w:w="8527" w:type="dxa"/>
        <w:tblInd w:w="120" w:type="dxa"/>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Layout w:type="fixed"/>
        <w:tblCellMar>
          <w:top w:w="30" w:type="dxa"/>
          <w:left w:w="180" w:type="dxa"/>
          <w:bottom w:w="30" w:type="dxa"/>
          <w:right w:w="180" w:type="dxa"/>
        </w:tblCellMar>
      </w:tblPr>
      <w:tblGrid>
        <w:gridCol w:w="2127"/>
        <w:gridCol w:w="3050"/>
        <w:gridCol w:w="1633"/>
        <w:gridCol w:w="1717"/>
      </w:tblGrid>
      <w:tr w14:paraId="74111DBE">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2127" w:type="dxa"/>
            <w:vAlign w:val="top"/>
          </w:tcPr>
          <w:p w14:paraId="0EB5F112">
            <w:pPr>
              <w:jc w:val="center"/>
            </w:pPr>
            <w:r>
              <w:rPr>
                <w:b/>
                <w:bCs/>
                <w:sz w:val="18"/>
                <w:szCs w:val="18"/>
              </w:rPr>
              <w:t>Essential characteristic</w:t>
            </w:r>
          </w:p>
        </w:tc>
        <w:tc>
          <w:tcPr>
            <w:tcW w:w="3050" w:type="dxa"/>
            <w:vAlign w:val="top"/>
          </w:tcPr>
          <w:p w14:paraId="64327944">
            <w:pPr>
              <w:jc w:val="center"/>
            </w:pPr>
            <w:r>
              <w:rPr>
                <w:b/>
                <w:bCs/>
                <w:sz w:val="18"/>
                <w:szCs w:val="18"/>
              </w:rPr>
              <w:t>Declared performance</w:t>
            </w:r>
          </w:p>
        </w:tc>
        <w:tc>
          <w:tcPr>
            <w:tcW w:w="1633" w:type="dxa"/>
            <w:vAlign w:val="top"/>
          </w:tcPr>
          <w:p w14:paraId="3C342A61">
            <w:pPr>
              <w:jc w:val="center"/>
            </w:pPr>
            <w:r>
              <w:rPr>
                <w:b/>
                <w:bCs/>
                <w:sz w:val="18"/>
                <w:szCs w:val="18"/>
              </w:rPr>
              <w:t>Test method / classification</w:t>
            </w:r>
          </w:p>
        </w:tc>
        <w:tc>
          <w:tcPr>
            <w:tcW w:w="1717" w:type="dxa"/>
            <w:vAlign w:val="top"/>
          </w:tcPr>
          <w:p w14:paraId="611D035E">
            <w:pPr>
              <w:jc w:val="center"/>
            </w:pPr>
            <w:r>
              <w:rPr>
                <w:b/>
                <w:bCs/>
                <w:sz w:val="18"/>
                <w:szCs w:val="18"/>
              </w:rPr>
              <w:t>Supporting document(s)</w:t>
            </w:r>
          </w:p>
        </w:tc>
      </w:tr>
      <w:tr w14:paraId="4C486D26">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2127" w:type="dxa"/>
            <w:vAlign w:val="top"/>
          </w:tcPr>
          <w:p w14:paraId="4E8DCAFD">
            <w:pPr>
              <w:jc w:val="left"/>
            </w:pPr>
            <w:r>
              <w:rPr>
                <w:sz w:val="18"/>
                <w:szCs w:val="18"/>
              </w:rPr>
              <w:t>Thermal conductivity / thermal resistance - 20 mm evidence set</w:t>
            </w:r>
          </w:p>
        </w:tc>
        <w:tc>
          <w:tcPr>
            <w:tcW w:w="3050" w:type="dxa"/>
            <w:vAlign w:val="top"/>
          </w:tcPr>
          <w:p w14:paraId="60FE86DF">
            <w:pPr>
              <w:jc w:val="left"/>
              <w:rPr>
                <w:rFonts w:hint="default"/>
                <w:lang w:val="en-US"/>
              </w:rPr>
            </w:pPr>
            <w:r>
              <w:rPr>
                <w:sz w:val="18"/>
                <w:szCs w:val="18"/>
              </w:rPr>
              <w:t>Conservative declared values: lambda = 0.029 W/(m.K)</w:t>
            </w:r>
            <w:r>
              <w:rPr>
                <w:rFonts w:hint="eastAsia"/>
                <w:sz w:val="18"/>
                <w:szCs w:val="18"/>
              </w:rPr>
              <w:t xml:space="preserve"> @10℃</w:t>
            </w:r>
            <w:r>
              <w:rPr>
                <w:sz w:val="18"/>
                <w:szCs w:val="18"/>
              </w:rPr>
              <w:t>; R = 0.692 m2.K/W</w:t>
            </w:r>
            <w:r>
              <w:rPr>
                <w:rFonts w:hint="default"/>
                <w:sz w:val="18"/>
                <w:szCs w:val="18"/>
                <w:lang w:val="en-US"/>
              </w:rPr>
              <w:t xml:space="preserve"> </w:t>
            </w:r>
            <w:r>
              <w:rPr>
                <w:rFonts w:hint="eastAsia"/>
                <w:sz w:val="18"/>
                <w:szCs w:val="18"/>
              </w:rPr>
              <w:t>@10℃</w:t>
            </w:r>
          </w:p>
        </w:tc>
        <w:tc>
          <w:tcPr>
            <w:tcW w:w="1633" w:type="dxa"/>
            <w:vAlign w:val="top"/>
          </w:tcPr>
          <w:p w14:paraId="1A51F416">
            <w:pPr>
              <w:jc w:val="center"/>
            </w:pPr>
            <w:r>
              <w:rPr>
                <w:sz w:val="18"/>
                <w:szCs w:val="18"/>
              </w:rPr>
              <w:t>EN 12667:2001</w:t>
            </w:r>
          </w:p>
        </w:tc>
        <w:tc>
          <w:tcPr>
            <w:tcW w:w="1717" w:type="dxa"/>
            <w:vAlign w:val="top"/>
          </w:tcPr>
          <w:p w14:paraId="5D4664DC">
            <w:pPr>
              <w:jc w:val="center"/>
            </w:pPr>
            <w:r>
              <w:rPr>
                <w:sz w:val="18"/>
                <w:szCs w:val="18"/>
              </w:rPr>
              <w:t>Applus 25/32303814</w:t>
            </w:r>
          </w:p>
        </w:tc>
      </w:tr>
      <w:tr w14:paraId="56F17187">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2127" w:type="dxa"/>
            <w:vAlign w:val="top"/>
          </w:tcPr>
          <w:p w14:paraId="1CFC60C2">
            <w:pPr>
              <w:jc w:val="left"/>
            </w:pPr>
            <w:r>
              <w:rPr>
                <w:sz w:val="18"/>
                <w:szCs w:val="18"/>
              </w:rPr>
              <w:t>Thermal conductivity / thermal resistance - 50 mm evidence set</w:t>
            </w:r>
          </w:p>
        </w:tc>
        <w:tc>
          <w:tcPr>
            <w:tcW w:w="3050" w:type="dxa"/>
            <w:vAlign w:val="top"/>
          </w:tcPr>
          <w:p w14:paraId="595AC483">
            <w:pPr>
              <w:jc w:val="left"/>
            </w:pPr>
            <w:r>
              <w:rPr>
                <w:sz w:val="18"/>
                <w:szCs w:val="18"/>
              </w:rPr>
              <w:t>Conservative declared values: lambda = 0.023 W/(m.K)</w:t>
            </w:r>
            <w:r>
              <w:rPr>
                <w:rFonts w:hint="default"/>
                <w:sz w:val="18"/>
                <w:szCs w:val="18"/>
                <w:lang w:val="en-US"/>
              </w:rPr>
              <w:t xml:space="preserve"> </w:t>
            </w:r>
            <w:r>
              <w:rPr>
                <w:rFonts w:hint="eastAsia"/>
                <w:sz w:val="18"/>
                <w:szCs w:val="18"/>
              </w:rPr>
              <w:t>@10℃</w:t>
            </w:r>
            <w:r>
              <w:rPr>
                <w:sz w:val="18"/>
                <w:szCs w:val="18"/>
              </w:rPr>
              <w:t>; R = 2.137 m2.K/W</w:t>
            </w:r>
            <w:r>
              <w:rPr>
                <w:rFonts w:hint="default"/>
                <w:sz w:val="18"/>
                <w:szCs w:val="18"/>
                <w:lang w:val="en-US"/>
              </w:rPr>
              <w:t xml:space="preserve"> </w:t>
            </w:r>
            <w:r>
              <w:rPr>
                <w:rFonts w:hint="eastAsia"/>
                <w:sz w:val="18"/>
                <w:szCs w:val="18"/>
              </w:rPr>
              <w:t>@10℃</w:t>
            </w:r>
          </w:p>
        </w:tc>
        <w:tc>
          <w:tcPr>
            <w:tcW w:w="1633" w:type="dxa"/>
            <w:vAlign w:val="top"/>
          </w:tcPr>
          <w:p w14:paraId="653C6914">
            <w:pPr>
              <w:jc w:val="center"/>
            </w:pPr>
            <w:r>
              <w:rPr>
                <w:sz w:val="18"/>
                <w:szCs w:val="18"/>
              </w:rPr>
              <w:t>EN 12667:2001</w:t>
            </w:r>
          </w:p>
        </w:tc>
        <w:tc>
          <w:tcPr>
            <w:tcW w:w="1717" w:type="dxa"/>
            <w:vAlign w:val="top"/>
          </w:tcPr>
          <w:p w14:paraId="1AA8DBBA">
            <w:pPr>
              <w:jc w:val="center"/>
            </w:pPr>
            <w:r>
              <w:rPr>
                <w:sz w:val="18"/>
                <w:szCs w:val="18"/>
              </w:rPr>
              <w:t>Applus</w:t>
            </w:r>
          </w:p>
          <w:p w14:paraId="66615BCA">
            <w:pPr>
              <w:jc w:val="center"/>
            </w:pPr>
            <w:r>
              <w:rPr>
                <w:sz w:val="18"/>
                <w:szCs w:val="18"/>
              </w:rPr>
              <w:t>25/32303815</w:t>
            </w:r>
          </w:p>
        </w:tc>
      </w:tr>
      <w:tr w14:paraId="4AE031A7">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2127" w:type="dxa"/>
            <w:vAlign w:val="top"/>
          </w:tcPr>
          <w:p w14:paraId="5C502528">
            <w:pPr>
              <w:jc w:val="left"/>
            </w:pPr>
            <w:r>
              <w:rPr>
                <w:sz w:val="18"/>
                <w:szCs w:val="18"/>
              </w:rPr>
              <w:t>Dimensions / tolerance class</w:t>
            </w:r>
          </w:p>
        </w:tc>
        <w:tc>
          <w:tcPr>
            <w:tcW w:w="3050" w:type="dxa"/>
            <w:vAlign w:val="top"/>
          </w:tcPr>
          <w:p w14:paraId="2BF094BB">
            <w:pPr>
              <w:jc w:val="left"/>
              <w:rPr>
                <w:sz w:val="18"/>
                <w:szCs w:val="15"/>
              </w:rPr>
            </w:pPr>
            <w:r>
              <w:rPr>
                <w:rFonts w:hint="eastAsia"/>
                <w:sz w:val="18"/>
                <w:szCs w:val="15"/>
              </w:rPr>
              <w:t>Thickness tolerance class T3; Length and width tolerance: ±8mm for dimensions &lt;1500mm</w:t>
            </w:r>
          </w:p>
        </w:tc>
        <w:tc>
          <w:tcPr>
            <w:tcW w:w="1633" w:type="dxa"/>
            <w:vAlign w:val="top"/>
          </w:tcPr>
          <w:p w14:paraId="667631FF">
            <w:pPr>
              <w:jc w:val="center"/>
            </w:pPr>
            <w:r>
              <w:rPr>
                <w:sz w:val="18"/>
                <w:szCs w:val="18"/>
              </w:rPr>
              <w:t>EN 823:2013</w:t>
            </w:r>
          </w:p>
        </w:tc>
        <w:tc>
          <w:tcPr>
            <w:tcW w:w="1717" w:type="dxa"/>
            <w:vAlign w:val="top"/>
          </w:tcPr>
          <w:p w14:paraId="716889EF">
            <w:pPr>
              <w:jc w:val="center"/>
            </w:pPr>
            <w:r>
              <w:rPr>
                <w:sz w:val="18"/>
                <w:szCs w:val="18"/>
              </w:rPr>
              <w:t>Applus</w:t>
            </w:r>
          </w:p>
          <w:p w14:paraId="7A972DD9">
            <w:pPr>
              <w:jc w:val="center"/>
            </w:pPr>
            <w:r>
              <w:rPr>
                <w:sz w:val="18"/>
                <w:szCs w:val="18"/>
              </w:rPr>
              <w:t>25/32303816 M1</w:t>
            </w:r>
          </w:p>
          <w:p w14:paraId="1EE6DB5C">
            <w:pPr>
              <w:jc w:val="center"/>
            </w:pPr>
            <w:r>
              <w:rPr>
                <w:sz w:val="18"/>
                <w:szCs w:val="18"/>
              </w:rPr>
              <w:t>25/32303817 M1</w:t>
            </w:r>
          </w:p>
          <w:p w14:paraId="277D32C0">
            <w:pPr>
              <w:jc w:val="center"/>
            </w:pPr>
            <w:r>
              <w:rPr>
                <w:sz w:val="18"/>
                <w:szCs w:val="18"/>
              </w:rPr>
              <w:t>Intertek 180704157GZU-001</w:t>
            </w:r>
          </w:p>
        </w:tc>
      </w:tr>
      <w:tr w14:paraId="10CDA8A5">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2127" w:type="dxa"/>
            <w:vAlign w:val="top"/>
          </w:tcPr>
          <w:p w14:paraId="247FC6C6">
            <w:pPr>
              <w:jc w:val="left"/>
            </w:pPr>
            <w:r>
              <w:rPr>
                <w:sz w:val="18"/>
                <w:szCs w:val="18"/>
              </w:rPr>
              <w:t>Compression behaviour</w:t>
            </w:r>
          </w:p>
        </w:tc>
        <w:tc>
          <w:tcPr>
            <w:tcW w:w="3050" w:type="dxa"/>
            <w:vAlign w:val="top"/>
          </w:tcPr>
          <w:p w14:paraId="06F1ABCD">
            <w:pPr>
              <w:jc w:val="left"/>
            </w:pPr>
            <w:r>
              <w:rPr>
                <w:sz w:val="18"/>
                <w:szCs w:val="18"/>
              </w:rPr>
              <w:t>Level CS(10/Y)300, declared &gt;= 300 kPa. Tested minimum compressive strength: 483 kPa (TB120606) and 523 kPa (TB1256080).</w:t>
            </w:r>
          </w:p>
        </w:tc>
        <w:tc>
          <w:tcPr>
            <w:tcW w:w="1633" w:type="dxa"/>
            <w:vAlign w:val="top"/>
          </w:tcPr>
          <w:p w14:paraId="2FD87F54">
            <w:pPr>
              <w:jc w:val="center"/>
            </w:pPr>
            <w:r>
              <w:rPr>
                <w:sz w:val="18"/>
                <w:szCs w:val="18"/>
              </w:rPr>
              <w:t>EN 826:2013</w:t>
            </w:r>
          </w:p>
        </w:tc>
        <w:tc>
          <w:tcPr>
            <w:tcW w:w="1717" w:type="dxa"/>
            <w:vAlign w:val="top"/>
          </w:tcPr>
          <w:p w14:paraId="40CB172E">
            <w:pPr>
              <w:jc w:val="center"/>
            </w:pPr>
            <w:r>
              <w:rPr>
                <w:sz w:val="18"/>
                <w:szCs w:val="18"/>
              </w:rPr>
              <w:t>Intertek 180704157GZU-001</w:t>
            </w:r>
          </w:p>
        </w:tc>
      </w:tr>
      <w:tr w14:paraId="212F3C64">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2127" w:type="dxa"/>
            <w:vAlign w:val="top"/>
          </w:tcPr>
          <w:p w14:paraId="217628CD">
            <w:pPr>
              <w:jc w:val="left"/>
            </w:pPr>
            <w:r>
              <w:rPr>
                <w:sz w:val="18"/>
                <w:szCs w:val="18"/>
              </w:rPr>
              <w:t>Dimensional stability under specified temperature and humidity conditions</w:t>
            </w:r>
          </w:p>
        </w:tc>
        <w:tc>
          <w:tcPr>
            <w:tcW w:w="3050" w:type="dxa"/>
            <w:vAlign w:val="top"/>
          </w:tcPr>
          <w:p w14:paraId="080A4666">
            <w:pPr>
              <w:jc w:val="left"/>
            </w:pPr>
            <w:r>
              <w:rPr>
                <w:sz w:val="18"/>
                <w:szCs w:val="18"/>
              </w:rPr>
              <w:t>Compliant with requirement &lt;= 5%. TB120606: length 0.1%, width 0.1%, thickness 1.8%. TB1256080: length 2.1%, width 0.1%, thickness 1.1%.</w:t>
            </w:r>
          </w:p>
        </w:tc>
        <w:tc>
          <w:tcPr>
            <w:tcW w:w="1633" w:type="dxa"/>
            <w:vAlign w:val="top"/>
          </w:tcPr>
          <w:p w14:paraId="28B17881">
            <w:pPr>
              <w:jc w:val="center"/>
            </w:pPr>
            <w:r>
              <w:rPr>
                <w:sz w:val="18"/>
                <w:szCs w:val="18"/>
              </w:rPr>
              <w:t>EN 1604:2013</w:t>
            </w:r>
          </w:p>
        </w:tc>
        <w:tc>
          <w:tcPr>
            <w:tcW w:w="1717" w:type="dxa"/>
            <w:vAlign w:val="top"/>
          </w:tcPr>
          <w:p w14:paraId="3BE3A39D">
            <w:pPr>
              <w:jc w:val="center"/>
            </w:pPr>
            <w:r>
              <w:rPr>
                <w:sz w:val="18"/>
                <w:szCs w:val="18"/>
              </w:rPr>
              <w:t>Intertek 180704157GZU-001</w:t>
            </w:r>
          </w:p>
        </w:tc>
      </w:tr>
      <w:tr w14:paraId="7FB42363">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2127" w:type="dxa"/>
            <w:vAlign w:val="top"/>
          </w:tcPr>
          <w:p w14:paraId="458BCD66">
            <w:pPr>
              <w:jc w:val="left"/>
            </w:pPr>
            <w:r>
              <w:rPr>
                <w:sz w:val="18"/>
                <w:szCs w:val="18"/>
              </w:rPr>
              <w:t>Deformation under specified compressive load and temperature conditions</w:t>
            </w:r>
          </w:p>
        </w:tc>
        <w:tc>
          <w:tcPr>
            <w:tcW w:w="3050" w:type="dxa"/>
            <w:vAlign w:val="top"/>
          </w:tcPr>
          <w:p w14:paraId="3B81CD1A">
            <w:pPr>
              <w:jc w:val="left"/>
            </w:pPr>
            <w:r>
              <w:rPr>
                <w:sz w:val="18"/>
                <w:szCs w:val="18"/>
              </w:rPr>
              <w:t xml:space="preserve">Compliant with requirement &lt;= 5%. </w:t>
            </w:r>
          </w:p>
          <w:p w14:paraId="026099F2">
            <w:pPr>
              <w:jc w:val="left"/>
            </w:pPr>
            <w:r>
              <w:rPr>
                <w:sz w:val="18"/>
                <w:szCs w:val="18"/>
              </w:rPr>
              <w:t>TB120606: 3.7% at 20 kPa and 3.4% at 40 kPa. TB1256080: 1.2% at 20 kPa and 1.6% at 40 kPa.</w:t>
            </w:r>
          </w:p>
        </w:tc>
        <w:tc>
          <w:tcPr>
            <w:tcW w:w="1633" w:type="dxa"/>
            <w:vAlign w:val="top"/>
          </w:tcPr>
          <w:p w14:paraId="6CF3D68C">
            <w:pPr>
              <w:jc w:val="center"/>
            </w:pPr>
            <w:r>
              <w:rPr>
                <w:sz w:val="18"/>
                <w:szCs w:val="18"/>
              </w:rPr>
              <w:t>EN 1605:2013</w:t>
            </w:r>
          </w:p>
        </w:tc>
        <w:tc>
          <w:tcPr>
            <w:tcW w:w="1717" w:type="dxa"/>
            <w:vAlign w:val="top"/>
          </w:tcPr>
          <w:p w14:paraId="303EDF5D">
            <w:pPr>
              <w:jc w:val="center"/>
            </w:pPr>
            <w:r>
              <w:rPr>
                <w:sz w:val="18"/>
                <w:szCs w:val="18"/>
              </w:rPr>
              <w:t>Intertek 180704157GZU-001</w:t>
            </w:r>
          </w:p>
        </w:tc>
      </w:tr>
      <w:tr w14:paraId="722F26F0">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2127" w:type="dxa"/>
            <w:vAlign w:val="top"/>
          </w:tcPr>
          <w:p w14:paraId="34A85370">
            <w:pPr>
              <w:jc w:val="left"/>
            </w:pPr>
            <w:r>
              <w:rPr>
                <w:sz w:val="18"/>
                <w:szCs w:val="18"/>
              </w:rPr>
              <w:t>Tensile strength perpendicular to faces</w:t>
            </w:r>
          </w:p>
        </w:tc>
        <w:tc>
          <w:tcPr>
            <w:tcW w:w="3050" w:type="dxa"/>
            <w:vAlign w:val="top"/>
          </w:tcPr>
          <w:p w14:paraId="50A37FDA">
            <w:pPr>
              <w:jc w:val="left"/>
            </w:pPr>
            <w:r>
              <w:rPr>
                <w:sz w:val="18"/>
                <w:szCs w:val="18"/>
              </w:rPr>
              <w:t>Compliant with drequirement  &gt;= 400KPa. Tested minimum tensile strength: 465 kPa (TB120606) and 536 kPa (TB1256080).</w:t>
            </w:r>
          </w:p>
        </w:tc>
        <w:tc>
          <w:tcPr>
            <w:tcW w:w="1633" w:type="dxa"/>
            <w:vAlign w:val="top"/>
          </w:tcPr>
          <w:p w14:paraId="2A0E7A95">
            <w:pPr>
              <w:jc w:val="center"/>
            </w:pPr>
            <w:r>
              <w:rPr>
                <w:sz w:val="18"/>
                <w:szCs w:val="18"/>
              </w:rPr>
              <w:t>EN 1607:2013</w:t>
            </w:r>
          </w:p>
        </w:tc>
        <w:tc>
          <w:tcPr>
            <w:tcW w:w="1717" w:type="dxa"/>
            <w:vAlign w:val="top"/>
          </w:tcPr>
          <w:p w14:paraId="3E25E527">
            <w:pPr>
              <w:jc w:val="center"/>
            </w:pPr>
            <w:r>
              <w:rPr>
                <w:sz w:val="18"/>
                <w:szCs w:val="18"/>
              </w:rPr>
              <w:t>Intertek 180704157GZU-001</w:t>
            </w:r>
          </w:p>
        </w:tc>
      </w:tr>
      <w:tr w14:paraId="09118951">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2127" w:type="dxa"/>
            <w:vAlign w:val="top"/>
          </w:tcPr>
          <w:p w14:paraId="6D03AD3A">
            <w:pPr>
              <w:jc w:val="left"/>
            </w:pPr>
            <w:r>
              <w:rPr>
                <w:sz w:val="18"/>
                <w:szCs w:val="18"/>
              </w:rPr>
              <w:t>Long term water absorption</w:t>
            </w:r>
          </w:p>
        </w:tc>
        <w:tc>
          <w:tcPr>
            <w:tcW w:w="3050" w:type="dxa"/>
            <w:vAlign w:val="top"/>
          </w:tcPr>
          <w:p w14:paraId="730DE8E8">
            <w:pPr>
              <w:jc w:val="left"/>
            </w:pPr>
            <w:r>
              <w:rPr>
                <w:sz w:val="18"/>
                <w:szCs w:val="18"/>
              </w:rPr>
              <w:t>WL(T)3. Tested maximum volume percent: 1.2% for TB1256080.</w:t>
            </w:r>
          </w:p>
        </w:tc>
        <w:tc>
          <w:tcPr>
            <w:tcW w:w="1633" w:type="dxa"/>
            <w:vAlign w:val="top"/>
          </w:tcPr>
          <w:p w14:paraId="76F6817E">
            <w:pPr>
              <w:jc w:val="center"/>
            </w:pPr>
            <w:r>
              <w:rPr>
                <w:sz w:val="18"/>
                <w:szCs w:val="18"/>
              </w:rPr>
              <w:t>EN 12087:2013, Method 2A</w:t>
            </w:r>
          </w:p>
        </w:tc>
        <w:tc>
          <w:tcPr>
            <w:tcW w:w="1717" w:type="dxa"/>
            <w:vAlign w:val="top"/>
          </w:tcPr>
          <w:p w14:paraId="21AFBB7A">
            <w:pPr>
              <w:jc w:val="center"/>
            </w:pPr>
            <w:r>
              <w:rPr>
                <w:sz w:val="18"/>
                <w:szCs w:val="18"/>
              </w:rPr>
              <w:t>Intertek 180704157GZU-001</w:t>
            </w:r>
          </w:p>
        </w:tc>
      </w:tr>
      <w:tr w14:paraId="01F024A2">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2127" w:type="dxa"/>
            <w:vAlign w:val="top"/>
          </w:tcPr>
          <w:p w14:paraId="2BA523D2">
            <w:pPr>
              <w:jc w:val="left"/>
            </w:pPr>
            <w:r>
              <w:rPr>
                <w:sz w:val="18"/>
                <w:szCs w:val="18"/>
              </w:rPr>
              <w:t>Reaction to fire</w:t>
            </w:r>
          </w:p>
        </w:tc>
        <w:tc>
          <w:tcPr>
            <w:tcW w:w="3050" w:type="dxa"/>
            <w:vAlign w:val="top"/>
          </w:tcPr>
          <w:p w14:paraId="00075DED">
            <w:pPr>
              <w:jc w:val="left"/>
            </w:pPr>
            <w:r>
              <w:rPr>
                <w:sz w:val="18"/>
                <w:szCs w:val="18"/>
              </w:rPr>
              <w:t>Class E.</w:t>
            </w:r>
          </w:p>
        </w:tc>
        <w:tc>
          <w:tcPr>
            <w:tcW w:w="1633" w:type="dxa"/>
            <w:vAlign w:val="top"/>
          </w:tcPr>
          <w:p w14:paraId="492B6BA8">
            <w:pPr>
              <w:jc w:val="center"/>
            </w:pPr>
            <w:r>
              <w:rPr>
                <w:sz w:val="18"/>
                <w:szCs w:val="18"/>
              </w:rPr>
              <w:t>EN ISO 11925-2:2020 / EN 13501-1:2018</w:t>
            </w:r>
          </w:p>
        </w:tc>
        <w:tc>
          <w:tcPr>
            <w:tcW w:w="1717" w:type="dxa"/>
            <w:vAlign w:val="top"/>
          </w:tcPr>
          <w:p w14:paraId="46216F2C">
            <w:pPr>
              <w:jc w:val="center"/>
            </w:pPr>
            <w:r>
              <w:rPr>
                <w:sz w:val="18"/>
                <w:szCs w:val="18"/>
              </w:rPr>
              <w:t>SGS GZIN2506002360PL01_EN</w:t>
            </w:r>
          </w:p>
        </w:tc>
      </w:tr>
    </w:tbl>
    <w:p w14:paraId="29CDC1D7">
      <w:pPr>
        <w:pStyle w:val="3"/>
        <w:jc w:val="left"/>
        <w:rPr>
          <w:rFonts w:hint="eastAsia" w:ascii="微软雅黑" w:hAnsi="微软雅黑" w:eastAsia="宋体"/>
          <w:b w:val="0"/>
          <w:i w:val="0"/>
          <w:strike w:val="0"/>
          <w:color w:val="auto"/>
          <w:sz w:val="24"/>
          <w:u w:val="none"/>
        </w:rPr>
      </w:pPr>
      <w:r>
        <w:t>Characteristics not declared for the intended use</w:t>
      </w:r>
      <w:r>
        <w:rPr>
          <w:rFonts w:hint="eastAsia"/>
        </w:rPr>
        <w:t>(NPD)</w:t>
      </w:r>
    </w:p>
    <w:p w14:paraId="3BB44DA2">
      <w:pPr>
        <w:pStyle w:val="3"/>
        <w:jc w:val="left"/>
        <w:rPr>
          <w:rFonts w:hint="eastAsia" w:ascii="微软雅黑" w:hAnsi="微软雅黑" w:eastAsia="宋体"/>
          <w:b w:val="0"/>
          <w:i w:val="0"/>
          <w:strike w:val="0"/>
          <w:color w:val="auto"/>
          <w:sz w:val="24"/>
          <w:u w:val="none"/>
        </w:rPr>
      </w:pPr>
      <w:r>
        <w:rPr>
          <w:rFonts w:hint="eastAsia" w:ascii="微软雅黑" w:hAnsi="微软雅黑" w:eastAsia="宋体"/>
          <w:b w:val="0"/>
          <w:i w:val="0"/>
          <w:strike w:val="0"/>
          <w:color w:val="auto"/>
          <w:sz w:val="24"/>
          <w:u w:val="none"/>
        </w:rPr>
        <w:t>- Resistance to fire (of complete wall, floor or roof assemblies)</w:t>
      </w:r>
    </w:p>
    <w:p w14:paraId="77E9BDD9">
      <w:pPr>
        <w:pStyle w:val="3"/>
        <w:jc w:val="left"/>
        <w:rPr>
          <w:rFonts w:hint="eastAsia" w:ascii="微软雅黑" w:hAnsi="微软雅黑" w:eastAsia="宋体"/>
          <w:b w:val="0"/>
          <w:i w:val="0"/>
          <w:strike w:val="0"/>
          <w:color w:val="auto"/>
          <w:sz w:val="24"/>
          <w:u w:val="none"/>
        </w:rPr>
      </w:pPr>
      <w:r>
        <w:rPr>
          <w:rFonts w:hint="eastAsia" w:ascii="微软雅黑" w:hAnsi="微软雅黑" w:eastAsia="宋体"/>
          <w:b w:val="0"/>
          <w:i w:val="0"/>
          <w:strike w:val="0"/>
          <w:color w:val="auto"/>
          <w:sz w:val="24"/>
          <w:u w:val="none"/>
        </w:rPr>
        <w:t>- External fire behaviour</w:t>
      </w:r>
    </w:p>
    <w:p w14:paraId="4E4F0E04">
      <w:pPr>
        <w:pStyle w:val="3"/>
        <w:jc w:val="left"/>
        <w:rPr>
          <w:rFonts w:hint="eastAsia" w:ascii="微软雅黑" w:hAnsi="微软雅黑" w:eastAsia="宋体"/>
          <w:b w:val="0"/>
          <w:i w:val="0"/>
          <w:strike w:val="0"/>
          <w:color w:val="auto"/>
          <w:sz w:val="24"/>
          <w:u w:val="none"/>
        </w:rPr>
      </w:pPr>
      <w:r>
        <w:rPr>
          <w:rFonts w:hint="eastAsia" w:ascii="微软雅黑" w:hAnsi="微软雅黑" w:eastAsia="宋体"/>
          <w:b w:val="0"/>
          <w:i w:val="0"/>
          <w:strike w:val="0"/>
          <w:color w:val="auto"/>
          <w:sz w:val="24"/>
          <w:u w:val="none"/>
        </w:rPr>
        <w:t>- Direct airborne sound reduction</w:t>
      </w:r>
    </w:p>
    <w:p w14:paraId="552AFCD9">
      <w:pPr>
        <w:pStyle w:val="3"/>
        <w:jc w:val="left"/>
        <w:rPr>
          <w:rFonts w:hint="eastAsia" w:ascii="微软雅黑" w:hAnsi="微软雅黑" w:eastAsia="宋体"/>
          <w:b w:val="0"/>
          <w:i w:val="0"/>
          <w:strike w:val="0"/>
          <w:color w:val="auto"/>
          <w:sz w:val="24"/>
          <w:u w:val="none"/>
        </w:rPr>
      </w:pPr>
      <w:r>
        <w:rPr>
          <w:rFonts w:hint="eastAsia" w:ascii="微软雅黑" w:hAnsi="微软雅黑" w:eastAsia="宋体"/>
          <w:b w:val="0"/>
          <w:i w:val="0"/>
          <w:strike w:val="0"/>
          <w:color w:val="auto"/>
          <w:sz w:val="24"/>
          <w:u w:val="none"/>
        </w:rPr>
        <w:t>- Pendulum body impact resistance</w:t>
      </w:r>
    </w:p>
    <w:p w14:paraId="21612B84">
      <w:pPr>
        <w:pStyle w:val="3"/>
        <w:jc w:val="left"/>
        <w:rPr>
          <w:rFonts w:hint="default" w:ascii="微软雅黑" w:hAnsi="微软雅黑" w:eastAsia="宋体"/>
          <w:b w:val="0"/>
          <w:i w:val="0"/>
          <w:strike w:val="0"/>
          <w:color w:val="auto"/>
          <w:sz w:val="24"/>
          <w:u w:val="none"/>
          <w:lang w:val="en-US" w:eastAsia="zh-CN"/>
        </w:rPr>
      </w:pPr>
      <w:r>
        <w:rPr>
          <w:rFonts w:hint="eastAsia" w:ascii="微软雅黑" w:hAnsi="微软雅黑" w:eastAsia="宋体"/>
          <w:b w:val="0"/>
          <w:i w:val="0"/>
          <w:strike w:val="0"/>
          <w:color w:val="auto"/>
          <w:sz w:val="24"/>
          <w:u w:val="none"/>
        </w:rPr>
        <w:t xml:space="preserve">- Durability beyond the performances expressly declared in Section </w:t>
      </w:r>
      <w:r>
        <w:rPr>
          <w:rFonts w:hint="eastAsia" w:eastAsia="宋体"/>
          <w:b w:val="0"/>
          <w:i w:val="0"/>
          <w:strike w:val="0"/>
          <w:color w:val="auto"/>
          <w:sz w:val="24"/>
          <w:u w:val="none"/>
          <w:lang w:val="en-US" w:eastAsia="zh-CN"/>
        </w:rPr>
        <w:t>8</w:t>
      </w:r>
    </w:p>
    <w:p w14:paraId="6556548A">
      <w:pPr>
        <w:pStyle w:val="3"/>
        <w:jc w:val="left"/>
        <w:rPr>
          <w:rFonts w:hint="eastAsia" w:ascii="微软雅黑" w:hAnsi="微软雅黑" w:eastAsia="宋体"/>
          <w:b w:val="0"/>
          <w:i w:val="0"/>
          <w:strike w:val="0"/>
          <w:color w:val="auto"/>
          <w:sz w:val="24"/>
          <w:u w:val="none"/>
        </w:rPr>
      </w:pPr>
      <w:r>
        <w:rPr>
          <w:rFonts w:hint="eastAsia" w:ascii="微软雅黑" w:hAnsi="微软雅黑" w:eastAsia="宋体"/>
          <w:b w:val="0"/>
          <w:i w:val="0"/>
          <w:strike w:val="0"/>
          <w:color w:val="auto"/>
          <w:sz w:val="24"/>
          <w:u w:val="none"/>
        </w:rPr>
        <w:t>This Declaration of Performance applies to the individual product placed on the market as a non-structural XPS insulation board / cement-faced tile backer board. It does not constitute a declaration for any complete assembly, system, or installed construction element.</w:t>
      </w:r>
    </w:p>
    <w:p w14:paraId="3470D191">
      <w:pPr>
        <w:pStyle w:val="3"/>
        <w:jc w:val="left"/>
      </w:pPr>
      <w:r>
        <w:rPr>
          <w:rFonts w:hint="eastAsia"/>
          <w:lang w:val="en-US" w:eastAsia="zh-CN"/>
        </w:rPr>
        <w:t>9</w:t>
      </w:r>
      <w:r>
        <w:t>. Appropriate technical documentation / supporting documents</w:t>
      </w:r>
    </w:p>
    <w:p w14:paraId="4351DBF9">
      <w:pPr>
        <w:numPr>
          <w:ilvl w:val="0"/>
          <w:numId w:val="4"/>
        </w:numPr>
        <w:jc w:val="left"/>
      </w:pPr>
      <w:r>
        <w:t>Product Type Determination Reports (LGAI NB 0370):</w:t>
      </w:r>
    </w:p>
    <w:p w14:paraId="55B7363B">
      <w:pPr>
        <w:numPr>
          <w:ilvl w:val="1"/>
          <w:numId w:val="3"/>
        </w:numPr>
        <w:jc w:val="left"/>
      </w:pPr>
      <w:r>
        <w:t>No. 25/32303814 (20mm thermal resistance)</w:t>
      </w:r>
    </w:p>
    <w:p w14:paraId="68AF2FBE">
      <w:pPr>
        <w:numPr>
          <w:ilvl w:val="1"/>
          <w:numId w:val="3"/>
        </w:numPr>
        <w:jc w:val="left"/>
      </w:pPr>
      <w:r>
        <w:t>No. 25/32303815 (50mm thermal resistance)</w:t>
      </w:r>
    </w:p>
    <w:p w14:paraId="47C68574">
      <w:pPr>
        <w:numPr>
          <w:ilvl w:val="1"/>
          <w:numId w:val="3"/>
        </w:numPr>
        <w:jc w:val="left"/>
      </w:pPr>
      <w:r>
        <w:t>No. 25/32303816 M1 (20mm thickness)</w:t>
      </w:r>
    </w:p>
    <w:p w14:paraId="371679DF">
      <w:pPr>
        <w:numPr>
          <w:ilvl w:val="1"/>
          <w:numId w:val="3"/>
        </w:numPr>
        <w:jc w:val="left"/>
      </w:pPr>
      <w:r>
        <w:t>No. 25/32303817 M1 (50mm thickness)</w:t>
      </w:r>
    </w:p>
    <w:p w14:paraId="0F8EBA39">
      <w:pPr>
        <w:numPr>
          <w:ilvl w:val="0"/>
          <w:numId w:val="4"/>
        </w:numPr>
        <w:jc w:val="left"/>
      </w:pPr>
      <w:r>
        <w:t>SGS Performance Test Report: No. GZIN2506002360PL01_EN</w:t>
      </w:r>
    </w:p>
    <w:p w14:paraId="344077C7">
      <w:pPr>
        <w:numPr>
          <w:ilvl w:val="0"/>
          <w:numId w:val="4"/>
        </w:numPr>
        <w:jc w:val="left"/>
      </w:pPr>
      <w:r>
        <w:t>SGS Supplementary Test Reports:</w:t>
      </w:r>
    </w:p>
    <w:p w14:paraId="3ED9B369">
      <w:pPr>
        <w:numPr>
          <w:ilvl w:val="1"/>
          <w:numId w:val="3"/>
        </w:numPr>
        <w:jc w:val="left"/>
      </w:pPr>
      <w:r>
        <w:t>No. SHIN2504000951CM01_EN (thickness verification)</w:t>
      </w:r>
    </w:p>
    <w:p w14:paraId="36E4D1C5">
      <w:pPr>
        <w:numPr>
          <w:ilvl w:val="1"/>
          <w:numId w:val="3"/>
        </w:numPr>
        <w:jc w:val="left"/>
      </w:pPr>
      <w:r>
        <w:t>No. SHIN2504000951CM02_EN (thermal conductivity verification)</w:t>
      </w:r>
    </w:p>
    <w:p w14:paraId="0C28061F">
      <w:pPr>
        <w:numPr>
          <w:ilvl w:val="0"/>
          <w:numId w:val="4"/>
        </w:numPr>
        <w:jc w:val="left"/>
      </w:pPr>
      <w:r>
        <w:t>Intertek Performance Test Report: No. 180704157GZU-001</w:t>
      </w:r>
    </w:p>
    <w:p w14:paraId="640B900B">
      <w:pPr>
        <w:numPr>
          <w:ilvl w:val="0"/>
          <w:numId w:val="4"/>
        </w:numPr>
        <w:jc w:val="left"/>
      </w:pPr>
      <w:r>
        <w:t>SGS System 3 Verification Statement: No. IN-SH-CP-5627-25239</w:t>
      </w:r>
    </w:p>
    <w:p w14:paraId="608569DB">
      <w:pPr>
        <w:pStyle w:val="3"/>
        <w:jc w:val="left"/>
      </w:pPr>
      <w:r>
        <w:rPr>
          <w:rFonts w:hint="eastAsia"/>
          <w:lang w:val="en-US" w:eastAsia="zh-CN"/>
        </w:rPr>
        <w:t>10</w:t>
      </w:r>
      <w:r>
        <w:t>. Batch / traceability</w:t>
      </w:r>
    </w:p>
    <w:p w14:paraId="151F279F">
      <w:pPr>
        <w:jc w:val="left"/>
      </w:pPr>
      <w:r>
        <w:rPr>
          <w:b/>
          <w:bCs/>
        </w:rPr>
        <w:t>Batch / Serial Number Range:</w:t>
      </w:r>
      <w:r>
        <w:t xml:space="preserve"> JIT-XPS-2023-2030</w:t>
      </w:r>
    </w:p>
    <w:p w14:paraId="2B4D9CCB">
      <w:pPr>
        <w:jc w:val="left"/>
      </w:pPr>
      <w:r>
        <w:t xml:space="preserve">This declaration is valid for all products manufactured between </w:t>
      </w:r>
      <w:r>
        <w:rPr>
          <w:rFonts w:hint="eastAsia"/>
        </w:rPr>
        <w:t>JIT22</w:t>
      </w:r>
      <w:r>
        <w:rPr>
          <w:rFonts w:hint="eastAsia"/>
          <w:lang w:val="en-US" w:eastAsia="zh-CN"/>
        </w:rPr>
        <w:t>XXX</w:t>
      </w:r>
      <w:r>
        <w:rPr>
          <w:rFonts w:hint="eastAsia"/>
        </w:rPr>
        <w:t xml:space="preserve"> </w:t>
      </w:r>
      <w:r>
        <w:t>-</w:t>
      </w:r>
      <w:r>
        <w:rPr>
          <w:rFonts w:hint="eastAsia"/>
        </w:rPr>
        <w:t>JIT</w:t>
      </w:r>
      <w:r>
        <w:rPr>
          <w:rFonts w:hint="eastAsia"/>
          <w:lang w:val="en-US" w:eastAsia="zh-CN"/>
        </w:rPr>
        <w:t>30</w:t>
      </w:r>
      <w:r>
        <w:rPr>
          <w:rFonts w:hint="eastAsia"/>
        </w:rPr>
        <w:t xml:space="preserve">XXX </w:t>
      </w:r>
      <w:r>
        <w:t>, provided that manufacturing conditions and factory production control remain unchanged.</w:t>
      </w:r>
    </w:p>
    <w:p w14:paraId="2B19C651">
      <w:pPr>
        <w:pStyle w:val="21"/>
        <w:pBdr>
          <w:bottom w:val="single" w:color="080F17" w:sz="6" w:space="0"/>
        </w:pBdr>
        <w:jc w:val="left"/>
      </w:pPr>
    </w:p>
    <w:p w14:paraId="35D3B657">
      <w:pPr>
        <w:pStyle w:val="21"/>
      </w:pPr>
    </w:p>
    <w:p w14:paraId="40A9291C">
      <w:pPr>
        <w:jc w:val="left"/>
      </w:pPr>
      <w:r>
        <w:t>The performance of the product identified above is in conformity with the set of declared performances. This declaration of performance is issued under the sole responsibility of the manufacturer identified above.</w:t>
      </w:r>
    </w:p>
    <w:p w14:paraId="4548598C">
      <w:pPr>
        <w:jc w:val="left"/>
      </w:pPr>
    </w:p>
    <w:p w14:paraId="7B158A85">
      <w:pPr>
        <w:jc w:val="left"/>
        <w:rPr>
          <w:b/>
          <w:bCs/>
        </w:rPr>
      </w:pPr>
      <w:r>
        <w:rPr>
          <w:b/>
          <w:bCs/>
        </w:rPr>
        <w:t xml:space="preserve">ANHUI JIT NEW MATERIAL CO., LTD. </w:t>
      </w:r>
    </w:p>
    <w:p w14:paraId="684A78F0">
      <w:pPr>
        <w:jc w:val="left"/>
      </w:pPr>
      <w:r>
        <w:rPr>
          <w:b/>
          <w:bCs/>
        </w:rPr>
        <w:t>Name:</w:t>
      </w:r>
      <w:r>
        <w:t xml:space="preserve"> Xuezhi Lin</w:t>
      </w:r>
    </w:p>
    <w:p w14:paraId="711CFF82">
      <w:pPr>
        <w:jc w:val="left"/>
        <w:textAlignment w:val="baseline"/>
      </w:pPr>
      <w:r>
        <w:drawing>
          <wp:anchor distT="0" distB="0" distL="114300" distR="114300" simplePos="0" relativeHeight="251659264" behindDoc="1" locked="0" layoutInCell="1" allowOverlap="1">
            <wp:simplePos x="0" y="0"/>
            <wp:positionH relativeFrom="column">
              <wp:posOffset>1884045</wp:posOffset>
            </wp:positionH>
            <wp:positionV relativeFrom="paragraph">
              <wp:posOffset>280035</wp:posOffset>
            </wp:positionV>
            <wp:extent cx="3287395" cy="922020"/>
            <wp:effectExtent l="0" t="0" r="0" b="0"/>
            <wp:wrapNone/>
            <wp:docPr id="4" name="图片 3" descr="条形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条形章"/>
                    <pic:cNvPicPr>
                      <a:picLocks noChangeAspect="1"/>
                    </pic:cNvPicPr>
                  </pic:nvPicPr>
                  <pic:blipFill>
                    <a:blip r:embed="rId5"/>
                    <a:stretch>
                      <a:fillRect/>
                    </a:stretch>
                  </pic:blipFill>
                  <pic:spPr>
                    <a:xfrm>
                      <a:off x="0" y="0"/>
                      <a:ext cx="3287395" cy="922020"/>
                    </a:xfrm>
                    <a:prstGeom prst="rect">
                      <a:avLst/>
                    </a:prstGeom>
                  </pic:spPr>
                </pic:pic>
              </a:graphicData>
            </a:graphic>
          </wp:anchor>
        </w:drawing>
      </w:r>
      <w:r>
        <w:rPr>
          <w:rFonts w:ascii="微软雅黑" w:hAnsi="微软雅黑" w:eastAsia="微软雅黑" w:cs="微软雅黑"/>
          <w:b/>
          <w:bCs/>
          <w:color w:val="080F17"/>
          <w:sz w:val="22"/>
          <w:lang w:val="en-US" w:eastAsia="zh-CN"/>
        </w:rPr>
        <w:t>Place</w:t>
      </w:r>
      <w:r>
        <w:rPr>
          <w:rFonts w:ascii="微软雅黑" w:hAnsi="微软雅黑" w:eastAsia="微软雅黑" w:cs="微软雅黑"/>
          <w:color w:val="080F17"/>
          <w:sz w:val="22"/>
          <w:lang w:val="en-US" w:eastAsia="zh-CN"/>
        </w:rPr>
        <w:t>: Xuancheng, Anhui, China</w:t>
      </w:r>
    </w:p>
    <w:p w14:paraId="1E703662">
      <w:pPr>
        <w:jc w:val="left"/>
      </w:pPr>
      <w:r>
        <w:rPr>
          <w:b/>
          <w:bCs/>
        </w:rPr>
        <w:t>Title:</w:t>
      </w:r>
      <w:r>
        <w:t xml:space="preserve"> General Manager</w:t>
      </w:r>
    </w:p>
    <w:p w14:paraId="6CD05807">
      <w:pPr>
        <w:jc w:val="left"/>
        <w:rPr>
          <w:rFonts w:hint="default"/>
          <w:lang w:val="en-US" w:eastAsia="zh-CN"/>
        </w:rPr>
      </w:pPr>
      <w:r>
        <w:rPr>
          <w:rFonts w:hint="eastAsia"/>
          <w:b/>
          <w:bCs/>
          <w:lang w:val="en-US" w:eastAsia="zh-CN"/>
        </w:rPr>
        <w:t>Date of issue:</w:t>
      </w:r>
      <w:r>
        <w:rPr>
          <w:rFonts w:hint="eastAsia"/>
          <w:lang w:val="en-US" w:eastAsia="zh-CN"/>
        </w:rPr>
        <w:t xml:space="preserve"> 1st-Jan-2023</w:t>
      </w:r>
    </w:p>
    <w:p w14:paraId="146A116F">
      <w:pPr>
        <w:jc w:val="left"/>
        <w:rPr>
          <w:rFonts w:hint="default"/>
          <w:lang w:val="en-US" w:eastAsia="zh-CN"/>
        </w:rPr>
      </w:pPr>
      <w:r>
        <w:rPr>
          <w:rFonts w:hint="eastAsia"/>
          <w:b/>
          <w:bCs/>
          <w:lang w:val="en-US" w:eastAsia="zh-CN"/>
        </w:rPr>
        <w:t xml:space="preserve">Vaild until: </w:t>
      </w:r>
      <w:r>
        <w:rPr>
          <w:rFonts w:hint="eastAsia"/>
          <w:lang w:val="en-US" w:eastAsia="zh-CN"/>
        </w:rPr>
        <w:t>31st-Dec-2030</w:t>
      </w:r>
    </w:p>
    <w:p w14:paraId="069430C1">
      <w:pPr>
        <w:tabs>
          <w:tab w:val="left" w:pos="3250"/>
        </w:tabs>
        <w:jc w:val="left"/>
        <w:rPr>
          <w:rFonts w:hint="eastAsia" w:eastAsia="微软雅黑"/>
          <w:lang w:eastAsia="zh-CN"/>
        </w:rPr>
      </w:pPr>
    </w:p>
    <w:sectPr>
      <w:headerReference r:id="rId3" w:type="default"/>
      <w:pgSz w:w="11906" w:h="16838"/>
      <w:pgMar w:top="1440" w:right="1803" w:bottom="1440" w:left="1803" w:header="13" w:footer="13" w:gutter="0"/>
      <w:cols w:space="0" w:num="1"/>
      <w:docGrid w:type="lines" w:linePitch="2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Emoji">
    <w:panose1 w:val="020B0502040204020203"/>
    <w:charset w:val="00"/>
    <w:family w:val="auto"/>
    <w:pitch w:val="default"/>
    <w:sig w:usb0="00000001" w:usb1="02000000" w:usb2="08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E93FA">
    <w:pPr>
      <w:pStyle w:val="9"/>
    </w:pPr>
  </w:p>
  <w:p w14:paraId="5A0B22DC">
    <w:pPr>
      <w:pStyle w:val="9"/>
    </w:pPr>
    <w:r>
      <w:drawing>
        <wp:inline distT="0" distB="0" distL="114300" distR="114300">
          <wp:extent cx="1314450" cy="651510"/>
          <wp:effectExtent l="0" t="0" r="635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1314450" cy="651510"/>
                  </a:xfrm>
                  <a:prstGeom prst="rect">
                    <a:avLst/>
                  </a:prstGeom>
                  <a:noFill/>
                  <a:ln w="9525">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CAC80"/>
    <w:multiLevelType w:val="singleLevel"/>
    <w:tmpl w:val="FFCCAC80"/>
    <w:lvl w:ilvl="0" w:tentative="0">
      <w:start w:val="7"/>
      <w:numFmt w:val="decimal"/>
      <w:suff w:val="space"/>
      <w:lvlText w:val="%1."/>
      <w:lvlJc w:val="left"/>
    </w:lvl>
  </w:abstractNum>
  <w:abstractNum w:abstractNumId="1">
    <w:nsid w:val="20000001"/>
    <w:multiLevelType w:val="singleLevel"/>
    <w:tmpl w:val="20000001"/>
    <w:lvl w:ilvl="0" w:tentative="0">
      <w:start w:val="1"/>
      <w:numFmt w:val="decimal"/>
      <w:pStyle w:val="19"/>
      <w:suff w:val="space"/>
      <w:lvlText w:val="%1 "/>
      <w:lvlJc w:val="right"/>
      <w:rPr>
        <w:rFonts w:ascii="微软雅黑" w:hAnsi="微软雅黑" w:eastAsia="微软雅黑" w:cs="微软雅黑"/>
        <w:color w:val="C0C6CF"/>
        <w:sz w:val="16"/>
      </w:rPr>
    </w:lvl>
  </w:abstractNum>
  <w:abstractNum w:abstractNumId="2">
    <w:nsid w:val="20000002"/>
    <w:multiLevelType w:val="multilevel"/>
    <w:tmpl w:val="20000002"/>
    <w:lvl w:ilvl="0" w:tentative="0">
      <w:start w:val="1"/>
      <w:numFmt w:val="bullet"/>
      <w:lvlText w:val=""/>
      <w:lvlJc w:val="left"/>
      <w:pPr>
        <w:ind w:left="420" w:hanging="420"/>
      </w:pPr>
      <w:rPr>
        <w:rFonts w:ascii="Wingdings" w:hAnsi="Wingdings" w:eastAsia="Wingdings" w:cs="Wingdings"/>
      </w:rPr>
    </w:lvl>
    <w:lvl w:ilvl="1" w:tentative="0">
      <w:start w:val="1"/>
      <w:numFmt w:val="bullet"/>
      <w:lvlText w:val="¢"/>
      <w:lvlJc w:val="left"/>
      <w:pPr>
        <w:ind w:left="840" w:hanging="420"/>
      </w:pPr>
      <w:rPr>
        <w:rFonts w:ascii="Wingdings" w:hAnsi="Wingdings" w:eastAsia="Wingdings" w:cs="Wingdings"/>
      </w:rPr>
    </w:lvl>
    <w:lvl w:ilvl="2" w:tentative="0">
      <w:start w:val="1"/>
      <w:numFmt w:val="bullet"/>
      <w:lvlText w:val=""/>
      <w:lvlJc w:val="left"/>
      <w:pPr>
        <w:ind w:left="1260" w:hanging="420"/>
      </w:pPr>
      <w:rPr>
        <w:rFonts w:ascii="Wingdings" w:hAnsi="Wingdings" w:eastAsia="Wingdings" w:cs="Wingdings"/>
      </w:rPr>
    </w:lvl>
    <w:lvl w:ilvl="3" w:tentative="0">
      <w:start w:val="1"/>
      <w:numFmt w:val="bullet"/>
      <w:lvlText w:val=""/>
      <w:lvlJc w:val="left"/>
      <w:pPr>
        <w:ind w:left="1680" w:hanging="420"/>
      </w:pPr>
      <w:rPr>
        <w:rFonts w:ascii="Wingdings" w:hAnsi="Wingdings" w:eastAsia="Wingdings" w:cs="Wingdings"/>
      </w:rPr>
    </w:lvl>
    <w:lvl w:ilvl="4" w:tentative="0">
      <w:start w:val="1"/>
      <w:numFmt w:val="bullet"/>
      <w:lvlText w:val="¢"/>
      <w:lvlJc w:val="left"/>
      <w:pPr>
        <w:ind w:left="2100" w:hanging="420"/>
      </w:pPr>
      <w:rPr>
        <w:rFonts w:ascii="Wingdings" w:hAnsi="Wingdings" w:eastAsia="Wingdings" w:cs="Wingdings"/>
      </w:rPr>
    </w:lvl>
    <w:lvl w:ilvl="5" w:tentative="0">
      <w:start w:val="1"/>
      <w:numFmt w:val="bullet"/>
      <w:lvlText w:val=""/>
      <w:lvlJc w:val="left"/>
      <w:pPr>
        <w:ind w:left="2520" w:hanging="420"/>
      </w:pPr>
      <w:rPr>
        <w:rFonts w:ascii="Wingdings" w:hAnsi="Wingdings" w:eastAsia="Wingdings" w:cs="Wingdings"/>
      </w:rPr>
    </w:lvl>
    <w:lvl w:ilvl="6" w:tentative="0">
      <w:start w:val="1"/>
      <w:numFmt w:val="bullet"/>
      <w:lvlText w:val=""/>
      <w:lvlJc w:val="left"/>
      <w:pPr>
        <w:ind w:left="2940" w:hanging="420"/>
      </w:pPr>
      <w:rPr>
        <w:rFonts w:ascii="Wingdings" w:hAnsi="Wingdings" w:eastAsia="Wingdings" w:cs="Wingdings"/>
      </w:rPr>
    </w:lvl>
    <w:lvl w:ilvl="7" w:tentative="0">
      <w:start w:val="1"/>
      <w:numFmt w:val="bullet"/>
      <w:lvlText w:val="¢"/>
      <w:lvlJc w:val="left"/>
      <w:pPr>
        <w:ind w:left="3360" w:hanging="420"/>
      </w:pPr>
      <w:rPr>
        <w:rFonts w:ascii="Wingdings" w:hAnsi="Wingdings" w:eastAsia="Wingdings" w:cs="Wingdings"/>
      </w:rPr>
    </w:lvl>
  </w:abstractNum>
  <w:abstractNum w:abstractNumId="3">
    <w:nsid w:val="20000003"/>
    <w:multiLevelType w:val="multilevel"/>
    <w:tmpl w:val="2000000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left"/>
      <w:pPr>
        <w:ind w:left="1260" w:hanging="420"/>
      </w:pPr>
    </w:lvl>
    <w:lvl w:ilvl="3" w:tentative="0">
      <w:start w:val="1"/>
      <w:numFmt w:val="decimal"/>
      <w:lvlText w:val="(%4)"/>
      <w:lvlJc w:val="left"/>
      <w:pPr>
        <w:ind w:left="1680" w:hanging="420"/>
      </w:pPr>
    </w:lvl>
    <w:lvl w:ilvl="4" w:tentative="0">
      <w:start w:val="1"/>
      <w:numFmt w:val="decimalEnclosedCircleChinese"/>
      <w:lvlText w:val="%5"/>
      <w:lvlJc w:val="left"/>
      <w:pPr>
        <w:ind w:left="2100" w:hanging="420"/>
      </w:pPr>
    </w:lvl>
    <w:lvl w:ilvl="5" w:tentative="0">
      <w:start w:val="1"/>
      <w:numFmt w:val="decimal"/>
      <w:lvlText w:val="%6)"/>
      <w:lvlJc w:val="left"/>
      <w:pPr>
        <w:ind w:left="2520" w:hanging="420"/>
      </w:pPr>
    </w:lvl>
    <w:lvl w:ilvl="6" w:tentative="0">
      <w:start w:val="1"/>
      <w:numFmt w:val="lowerLetter"/>
      <w:lvlText w:val="%7)"/>
      <w:lvlJc w:val="left"/>
      <w:pPr>
        <w:ind w:left="2940" w:hanging="420"/>
      </w:pPr>
    </w:lvl>
    <w:lvl w:ilvl="7" w:tentative="0">
      <w:start w:val="1"/>
      <w:numFmt w:val="lowerRoman"/>
      <w:lvlText w:val="%8)"/>
      <w:lvlJc w:val="left"/>
      <w:pPr>
        <w:ind w:left="3360" w:hanging="420"/>
      </w:pPr>
    </w:lvl>
    <w:lvl w:ilvl="8" w:tentative="0">
      <w:start w:val="1"/>
      <w:numFmt w:val="upperLetter"/>
      <w:lvlText w:val="%9."/>
      <w:lvlJc w:val="lef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5518C3"/>
    <w:rsid w:val="0D2E2BDA"/>
    <w:rsid w:val="0E607EAB"/>
    <w:rsid w:val="12E623FB"/>
    <w:rsid w:val="201A55FB"/>
    <w:rsid w:val="280C0D80"/>
    <w:rsid w:val="2D575765"/>
    <w:rsid w:val="349C649F"/>
    <w:rsid w:val="353A3282"/>
    <w:rsid w:val="3FE76658"/>
    <w:rsid w:val="418D5B1A"/>
    <w:rsid w:val="435766B4"/>
    <w:rsid w:val="47246448"/>
    <w:rsid w:val="584C5C4F"/>
    <w:rsid w:val="67FE4D0E"/>
    <w:rsid w:val="6F247BD8"/>
    <w:rsid w:val="6FF71C0E"/>
    <w:rsid w:val="71547082"/>
    <w:rsid w:val="77EF7B00"/>
    <w:rsid w:val="7D2F2145"/>
    <w:rsid w:val="7D9C5773"/>
    <w:rsid w:val="7F6AB3EC"/>
    <w:rsid w:val="BFF27F88"/>
    <w:rsid w:val="F6CFB5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extAlignment w:val="baseline"/>
    </w:pPr>
    <w:rPr>
      <w:rFonts w:ascii="微软雅黑" w:hAnsi="微软雅黑" w:eastAsia="微软雅黑" w:cs="微软雅黑"/>
      <w:color w:val="080F17"/>
      <w:sz w:val="22"/>
    </w:rPr>
  </w:style>
  <w:style w:type="paragraph" w:styleId="2">
    <w:name w:val="heading 1"/>
    <w:basedOn w:val="1"/>
    <w:qFormat/>
    <w:uiPriority w:val="0"/>
    <w:pPr>
      <w:spacing w:before="390" w:after="120" w:line="634" w:lineRule="exact"/>
      <w:outlineLvl w:val="0"/>
    </w:pPr>
    <w:rPr>
      <w:b/>
      <w:sz w:val="38"/>
    </w:rPr>
  </w:style>
  <w:style w:type="paragraph" w:styleId="3">
    <w:name w:val="heading 2"/>
    <w:basedOn w:val="1"/>
    <w:qFormat/>
    <w:uiPriority w:val="0"/>
    <w:pPr>
      <w:spacing w:before="330" w:after="120" w:line="536" w:lineRule="exact"/>
      <w:outlineLvl w:val="1"/>
    </w:pPr>
    <w:rPr>
      <w:b/>
      <w:sz w:val="32"/>
    </w:rPr>
  </w:style>
  <w:style w:type="paragraph" w:styleId="4">
    <w:name w:val="heading 3"/>
    <w:basedOn w:val="1"/>
    <w:qFormat/>
    <w:uiPriority w:val="0"/>
    <w:pPr>
      <w:spacing w:before="300" w:after="120" w:line="488" w:lineRule="exact"/>
      <w:outlineLvl w:val="2"/>
    </w:pPr>
    <w:rPr>
      <w:b/>
      <w:sz w:val="30"/>
    </w:rPr>
  </w:style>
  <w:style w:type="paragraph" w:styleId="5">
    <w:name w:val="heading 4"/>
    <w:basedOn w:val="1"/>
    <w:qFormat/>
    <w:uiPriority w:val="0"/>
    <w:pPr>
      <w:spacing w:before="270" w:after="120" w:line="439" w:lineRule="exact"/>
      <w:outlineLvl w:val="3"/>
    </w:pPr>
    <w:rPr>
      <w:b/>
      <w:sz w:val="26"/>
    </w:rPr>
  </w:style>
  <w:style w:type="paragraph" w:styleId="6">
    <w:name w:val="heading 5"/>
    <w:basedOn w:val="1"/>
    <w:qFormat/>
    <w:uiPriority w:val="0"/>
    <w:pPr>
      <w:spacing w:before="240" w:after="120" w:line="390" w:lineRule="exact"/>
      <w:outlineLvl w:val="4"/>
    </w:pPr>
    <w:rPr>
      <w:b/>
      <w:sz w:val="22"/>
    </w:rPr>
  </w:style>
  <w:style w:type="paragraph" w:styleId="7">
    <w:name w:val="heading 6"/>
    <w:basedOn w:val="1"/>
    <w:qFormat/>
    <w:uiPriority w:val="0"/>
    <w:pPr>
      <w:spacing w:before="240" w:after="120" w:line="390" w:lineRule="exact"/>
      <w:outlineLvl w:val="5"/>
    </w:pPr>
    <w:rPr>
      <w:b/>
      <w:sz w:val="2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qFormat/>
    <w:uiPriority w:val="0"/>
    <w:tblPr>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left w:w="108" w:type="dxa"/>
        <w:right w:w="108" w:type="dxa"/>
      </w:tblCellMar>
    </w:tblPr>
  </w:style>
  <w:style w:type="character" w:styleId="13">
    <w:name w:val="Hyperlink"/>
    <w:qFormat/>
    <w:uiPriority w:val="0"/>
    <w:rPr>
      <w:color w:val="0A6CFF"/>
      <w:u w:val="single" w:color="0A6CFF"/>
    </w:rPr>
  </w:style>
  <w:style w:type="paragraph" w:customStyle="1" w:styleId="14">
    <w:name w:val="MainTitle"/>
    <w:basedOn w:val="1"/>
    <w:qFormat/>
    <w:uiPriority w:val="0"/>
    <w:pPr>
      <w:pBdr>
        <w:bottom w:val="single" w:color="E2E6ED" w:sz="6" w:space="5"/>
      </w:pBdr>
      <w:spacing w:before="180" w:after="480" w:line="780" w:lineRule="exact"/>
    </w:pPr>
    <w:rPr>
      <w:b/>
      <w:sz w:val="44"/>
    </w:rPr>
  </w:style>
  <w:style w:type="character" w:customStyle="1" w:styleId="15">
    <w:name w:val="DateTime"/>
    <w:qFormat/>
    <w:uiPriority w:val="0"/>
    <w:rPr>
      <w:color w:val="0A6CFF"/>
    </w:rPr>
  </w:style>
  <w:style w:type="paragraph" w:customStyle="1" w:styleId="16">
    <w:name w:val="Blockquote"/>
    <w:basedOn w:val="1"/>
    <w:qFormat/>
    <w:uiPriority w:val="0"/>
    <w:pPr>
      <w:pBdr>
        <w:left w:val="single" w:color="E2E6ED" w:sz="36" w:space="12"/>
      </w:pBdr>
      <w:ind w:left="330" w:firstLine="0"/>
    </w:pPr>
    <w:rPr>
      <w:color w:val="767C85"/>
      <w:sz w:val="22"/>
    </w:rPr>
  </w:style>
  <w:style w:type="character" w:customStyle="1" w:styleId="17">
    <w:name w:val="Code"/>
    <w:qFormat/>
    <w:uiPriority w:val="0"/>
    <w:rPr>
      <w:bdr w:val="single" w:color="E2E6ED" w:sz="6" w:space="0"/>
    </w:rPr>
  </w:style>
  <w:style w:type="character" w:customStyle="1" w:styleId="18">
    <w:name w:val="Emoji"/>
    <w:qFormat/>
    <w:uiPriority w:val="0"/>
    <w:rPr>
      <w:rFonts w:ascii="Segoe UI Emoji" w:hAnsi="Segoe UI Emoji" w:eastAsia="Segoe UI Emoji" w:cs="Segoe UI Emoji"/>
    </w:rPr>
  </w:style>
  <w:style w:type="paragraph" w:customStyle="1" w:styleId="19">
    <w:name w:val="CodeBlock"/>
    <w:basedOn w:val="1"/>
    <w:qFormat/>
    <w:uiPriority w:val="0"/>
    <w:pPr>
      <w:numPr>
        <w:ilvl w:val="0"/>
        <w:numId w:val="1"/>
      </w:numPr>
      <w:pBdr>
        <w:top w:val="single" w:color="E2E6ED" w:sz="6" w:space="8"/>
        <w:left w:val="single" w:color="E2E6ED" w:sz="6" w:space="26"/>
        <w:bottom w:val="single" w:color="E2E6ED" w:sz="6" w:space="8"/>
        <w:right w:val="single" w:color="E2E6ED" w:sz="6" w:space="0"/>
      </w:pBdr>
      <w:shd w:val="clear" w:color="FFFFFF" w:fill="F5F7F9"/>
      <w:spacing w:before="0" w:after="0" w:line="300" w:lineRule="exact"/>
      <w:ind w:left="540" w:firstLine="0"/>
    </w:pPr>
    <w:rPr>
      <w:sz w:val="18"/>
    </w:rPr>
  </w:style>
  <w:style w:type="table" w:customStyle="1" w:styleId="20">
    <w:name w:val="HighlightBlock"/>
    <w:qFormat/>
    <w:uiPriority w:val="0"/>
    <w:tblPr>
      <w:tblBorders>
        <w:top w:val="single" w:color="FEC794" w:sz="6" w:space="0"/>
        <w:left w:val="single" w:color="FEC794" w:sz="6" w:space="0"/>
        <w:bottom w:val="single" w:color="FEC794" w:sz="6" w:space="0"/>
        <w:right w:val="single" w:color="FEC794" w:sz="6" w:space="0"/>
        <w:insideH w:val="single" w:color="FEC794" w:sz="6" w:space="0"/>
        <w:insideV w:val="single" w:color="FEC794" w:sz="6" w:space="0"/>
      </w:tblBorders>
      <w:tblCellMar>
        <w:left w:w="108" w:type="dxa"/>
        <w:right w:w="108" w:type="dxa"/>
      </w:tblCellMar>
    </w:tblPr>
  </w:style>
  <w:style w:type="paragraph" w:customStyle="1" w:styleId="21">
    <w:name w:val="Seperate"/>
    <w:basedOn w:val="1"/>
    <w:qFormat/>
    <w:uiPriority w:val="0"/>
    <w:pPr>
      <w:spacing w:before="0" w:after="0" w:line="120" w:lineRule="exac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844</Words>
  <Characters>5112</Characters>
  <TotalTime>34</TotalTime>
  <ScaleCrop>false</ScaleCrop>
  <LinksUpToDate>false</LinksUpToDate>
  <CharactersWithSpaces>5830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2026-04-22T23:44:00Z</dcterms:created>
  <dc:creator>webotl</dc:creator>
  <cp:lastModifiedBy>jitsh</cp:lastModifiedBy>
  <dcterms:modified xsi:type="dcterms:W3CDTF">2026-07-03T03:17:50Z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webotl</vt:lpwstr>
  </property>
  <property fmtid="{D5CDD505-2E9C-101B-9397-08002B2CF9AE}" pid="3" name="KSOProductBuildVer">
    <vt:lpwstr>2052-12.1.0.26895</vt:lpwstr>
  </property>
  <property fmtid="{D5CDD505-2E9C-101B-9397-08002B2CF9AE}" pid="4" name="ICV">
    <vt:lpwstr>90DD05910D4F44EFA61E3A23737A5A88_13</vt:lpwstr>
  </property>
  <property fmtid="{D5CDD505-2E9C-101B-9397-08002B2CF9AE}" pid="5" name="KSOTemplateDocerSaveRecord">
    <vt:lpwstr>eyJoZGlkIjoiMzEwNTM5NzYwMDRjMzkwZTVkZjY2ODkwMGIxNGU0OTUiLCJ1c2VySWQiOiI2ODczMjQ1OTEifQ==</vt:lpwstr>
  </property>
</Properties>
</file>